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b w:val="1"/>
          <w:bCs w:val="1"/>
          <w:color w:val="222222"/>
          <w:sz w:val="28"/>
          <w:szCs w:val="28"/>
        </w:rPr>
      </w:pPr>
      <w:r w:rsidDel="00000000" w:rsidR="00000000" w:rsidRPr="00000000">
        <w:rPr>
          <w:b w:val="1"/>
          <w:bCs w:val="1"/>
          <w:color w:val="222222"/>
          <w:sz w:val="28"/>
          <w:szCs w:val="28"/>
          <w:rtl w:val="0"/>
        </w:rPr>
        <w:t xml:space="preserve">Anticipating Progress in Transit, Post-Quantum Preparedness, and Agentic e-Commerce</w:t>
      </w:r>
    </w:p>
    <w:p w:rsidR="00000000" w:rsidDel="00000000" w:rsidP="00000000" w:rsidRDefault="00000000" w:rsidRPr="00000000" w14:paraId="00000002">
      <w:pPr>
        <w:shd w:fill="ffffff" w:val="clear"/>
        <w:rPr>
          <w:color w:val="222222"/>
          <w:sz w:val="24"/>
          <w:szCs w:val="24"/>
        </w:rPr>
      </w:pPr>
      <w:r w:rsidDel="00000000" w:rsidR="00000000" w:rsidRPr="00000000">
        <w:rPr>
          <w:color w:val="222222"/>
          <w:sz w:val="24"/>
          <w:szCs w:val="24"/>
          <w:rtl w:val="0"/>
        </w:rPr>
        <w:t xml:space="preserve">By Gary Munro, VP Payments; Simon Laker, VP Smart Mobility; and Howard Hall, VP Growth, Consult Hyperion, Consulting by Fime</w:t>
      </w:r>
    </w:p>
    <w:p w:rsidR="00000000" w:rsidDel="00000000" w:rsidP="00000000" w:rsidRDefault="00000000" w:rsidRPr="00000000" w14:paraId="00000003">
      <w:pPr>
        <w:shd w:fill="ffffff" w:val="clear"/>
        <w:rPr>
          <w:color w:val="222222"/>
        </w:rPr>
      </w:pPr>
      <w:r w:rsidDel="00000000" w:rsidR="00000000" w:rsidRPr="00000000">
        <w:rPr>
          <w:rtl w:val="0"/>
        </w:rPr>
      </w:r>
    </w:p>
    <w:p w:rsidR="00000000" w:rsidDel="00000000" w:rsidP="00000000" w:rsidRDefault="00000000" w:rsidRPr="00000000" w14:paraId="00000004">
      <w:pPr>
        <w:shd w:fill="ffffff" w:val="clear"/>
        <w:rPr>
          <w:color w:val="222222"/>
        </w:rPr>
      </w:pPr>
      <w:r w:rsidDel="00000000" w:rsidR="00000000" w:rsidRPr="00000000">
        <w:rPr>
          <w:color w:val="222222"/>
          <w:rtl w:val="0"/>
        </w:rPr>
        <w:t xml:space="preserve">Subject matter experts from Consult Hyperion, Consulting by Fime, anticipate important developments across quantum resilience, payments, transit, and agentic e-commerce through 2026:</w:t>
      </w:r>
    </w:p>
    <w:p w:rsidR="00000000" w:rsidDel="00000000" w:rsidP="00000000" w:rsidRDefault="00000000" w:rsidRPr="00000000" w14:paraId="00000005">
      <w:pPr>
        <w:shd w:fill="ffffff" w:val="clear"/>
        <w:rPr>
          <w:color w:val="222222"/>
        </w:rPr>
      </w:pPr>
      <w:r w:rsidDel="00000000" w:rsidR="00000000" w:rsidRPr="00000000">
        <w:rPr>
          <w:rtl w:val="0"/>
        </w:rPr>
      </w:r>
    </w:p>
    <w:p w:rsidR="00000000" w:rsidDel="00000000" w:rsidP="00000000" w:rsidRDefault="00000000" w:rsidRPr="00000000" w14:paraId="00000006">
      <w:pPr>
        <w:shd w:fill="ffffff" w:val="clear"/>
        <w:rPr>
          <w:color w:val="222222"/>
        </w:rPr>
      </w:pPr>
      <w:r w:rsidDel="00000000" w:rsidR="00000000" w:rsidRPr="00000000">
        <w:rPr>
          <w:b w:val="1"/>
          <w:bCs w:val="1"/>
          <w:color w:val="222222"/>
          <w:highlight w:val="white"/>
          <w:rtl w:val="0"/>
        </w:rPr>
        <w:t xml:space="preserve">Digital Identity, Transit, and Beyond</w:t>
      </w:r>
      <w:r w:rsidDel="00000000" w:rsidR="00000000" w:rsidRPr="00000000">
        <w:rPr>
          <w:rtl w:val="0"/>
        </w:rPr>
      </w:r>
    </w:p>
    <w:p w:rsidR="00000000" w:rsidDel="00000000" w:rsidP="00000000" w:rsidRDefault="00000000" w:rsidRPr="00000000" w14:paraId="00000007">
      <w:pPr>
        <w:shd w:fill="ffffff" w:val="clear"/>
        <w:rPr>
          <w:color w:val="222222"/>
        </w:rPr>
      </w:pPr>
      <w:r w:rsidDel="00000000" w:rsidR="00000000" w:rsidRPr="00000000">
        <w:rPr>
          <w:rtl w:val="0"/>
        </w:rPr>
      </w:r>
    </w:p>
    <w:p w:rsidR="00000000" w:rsidDel="00000000" w:rsidP="00000000" w:rsidRDefault="00000000" w:rsidRPr="00000000" w14:paraId="00000008">
      <w:pPr>
        <w:shd w:fill="ffffff" w:val="clear"/>
        <w:rPr>
          <w:color w:val="222222"/>
        </w:rPr>
      </w:pPr>
      <w:r w:rsidDel="00000000" w:rsidR="00000000" w:rsidRPr="00000000">
        <w:rPr>
          <w:color w:val="222222"/>
          <w:rtl w:val="0"/>
        </w:rPr>
        <w:t xml:space="preserve">Transit continues to lead the way in how identity and payments converge. Account-based ticketing, open-loop acceptance, and verified digital credentials are creating travel experiences that are faster, simpler and all the while preserving privacy. What is happening in transit is now influencing how retail, mobility, and even border processes think about digital trust.</w:t>
      </w:r>
    </w:p>
    <w:p w:rsidR="00000000" w:rsidDel="00000000" w:rsidP="00000000" w:rsidRDefault="00000000" w:rsidRPr="00000000" w14:paraId="00000009">
      <w:pPr>
        <w:shd w:fill="ffffff" w:val="clear"/>
        <w:rPr>
          <w:color w:val="222222"/>
        </w:rPr>
      </w:pPr>
      <w:r w:rsidDel="00000000" w:rsidR="00000000" w:rsidRPr="00000000">
        <w:rPr>
          <w:color w:val="222222"/>
          <w:rtl w:val="0"/>
        </w:rPr>
        <w:t xml:space="preserve"> </w:t>
      </w:r>
    </w:p>
    <w:p w:rsidR="00000000" w:rsidDel="00000000" w:rsidP="00000000" w:rsidRDefault="00000000" w:rsidRPr="00000000" w14:paraId="0000000A">
      <w:pPr>
        <w:shd w:fill="ffffff" w:val="clear"/>
        <w:rPr>
          <w:color w:val="222222"/>
        </w:rPr>
      </w:pPr>
      <w:r w:rsidDel="00000000" w:rsidR="00000000" w:rsidRPr="00000000">
        <w:rPr>
          <w:color w:val="222222"/>
          <w:rtl w:val="0"/>
        </w:rPr>
        <w:t xml:space="preserve">The next phase is the digital travel credential. Credentials that can prove identity, eligibility, and payment capability across transit, retail, and potentially government services whilst preserving the traveler’s privacy. Delivering this requires systems that read only the data they need, maintain high transaction speeds, and support reliable inspection and validation. It also reduces the need for agencies to issue specific closed-loop concession cards. Open-loop systems, combined with digital identity, allow benefits and entitlements to live within a trusted credential rather than a dedicated piece of plastic – ultimately saving transit agency money.</w:t>
      </w:r>
    </w:p>
    <w:p w:rsidR="00000000" w:rsidDel="00000000" w:rsidP="00000000" w:rsidRDefault="00000000" w:rsidRPr="00000000" w14:paraId="0000000B">
      <w:pPr>
        <w:shd w:fill="ffffff" w:val="clear"/>
        <w:rPr>
          <w:color w:val="222222"/>
        </w:rPr>
      </w:pPr>
      <w:r w:rsidDel="00000000" w:rsidR="00000000" w:rsidRPr="00000000">
        <w:rPr>
          <w:rtl w:val="0"/>
        </w:rPr>
      </w:r>
    </w:p>
    <w:p w:rsidR="00000000" w:rsidDel="00000000" w:rsidP="00000000" w:rsidRDefault="00000000" w:rsidRPr="00000000" w14:paraId="0000000C">
      <w:pPr>
        <w:shd w:fill="ffffff" w:val="clear"/>
        <w:rPr>
          <w:color w:val="222222"/>
        </w:rPr>
      </w:pPr>
      <w:r w:rsidDel="00000000" w:rsidR="00000000" w:rsidRPr="00000000">
        <w:rPr>
          <w:b w:val="1"/>
          <w:bCs w:val="1"/>
          <w:color w:val="222222"/>
          <w:highlight w:val="white"/>
          <w:rtl w:val="0"/>
        </w:rPr>
        <w:t xml:space="preserve">Planning for a Post-Quantum, Sovereign, and Resilient Payments World</w:t>
      </w:r>
      <w:r w:rsidDel="00000000" w:rsidR="00000000" w:rsidRPr="00000000">
        <w:rPr>
          <w:rtl w:val="0"/>
        </w:rPr>
      </w:r>
    </w:p>
    <w:p w:rsidR="00000000" w:rsidDel="00000000" w:rsidP="00000000" w:rsidRDefault="00000000" w:rsidRPr="00000000" w14:paraId="0000000D">
      <w:pPr>
        <w:shd w:fill="ffffff" w:val="clear"/>
        <w:rPr>
          <w:color w:val="222222"/>
        </w:rPr>
      </w:pPr>
      <w:r w:rsidDel="00000000" w:rsidR="00000000" w:rsidRPr="00000000">
        <w:rPr>
          <w:color w:val="222222"/>
          <w:rtl w:val="0"/>
        </w:rPr>
        <w:t xml:space="preserve"> </w:t>
      </w:r>
    </w:p>
    <w:p w:rsidR="00000000" w:rsidDel="00000000" w:rsidP="00000000" w:rsidRDefault="00000000" w:rsidRPr="00000000" w14:paraId="0000000E">
      <w:pPr>
        <w:shd w:fill="ffffff" w:val="clear"/>
        <w:rPr>
          <w:color w:val="222222"/>
        </w:rPr>
      </w:pPr>
      <w:r w:rsidDel="00000000" w:rsidR="00000000" w:rsidRPr="00000000">
        <w:rPr>
          <w:color w:val="222222"/>
          <w:rtl w:val="0"/>
        </w:rPr>
        <w:t xml:space="preserve">Quantum computing is moving from theory toward practical impact, and the payments and digital identity ecosystem needs to prepare long before real vulnerabilities appear. Post-quantum cryptography is not just a new set of algorithms. It represents a redesign of how the industry builds cryptographic agility, operational continuity, and sovereign control into the payment and identity stacks.</w:t>
      </w:r>
    </w:p>
    <w:p w:rsidR="00000000" w:rsidDel="00000000" w:rsidP="00000000" w:rsidRDefault="00000000" w:rsidRPr="00000000" w14:paraId="0000000F">
      <w:pPr>
        <w:shd w:fill="ffffff" w:val="clear"/>
        <w:rPr>
          <w:color w:val="222222"/>
        </w:rPr>
      </w:pPr>
      <w:r w:rsidDel="00000000" w:rsidR="00000000" w:rsidRPr="00000000">
        <w:rPr>
          <w:color w:val="222222"/>
          <w:rtl w:val="0"/>
        </w:rPr>
        <w:t xml:space="preserve"> </w:t>
      </w:r>
    </w:p>
    <w:p w:rsidR="00000000" w:rsidDel="00000000" w:rsidP="00000000" w:rsidRDefault="00000000" w:rsidRPr="00000000" w14:paraId="00000010">
      <w:pPr>
        <w:shd w:fill="ffffff" w:val="clear"/>
        <w:rPr>
          <w:color w:val="222222"/>
        </w:rPr>
      </w:pPr>
      <w:r w:rsidDel="00000000" w:rsidR="00000000" w:rsidRPr="00000000">
        <w:rPr>
          <w:color w:val="222222"/>
          <w:rtl w:val="0"/>
        </w:rPr>
        <w:t xml:space="preserve">Around the world, governments and schemes are already thinking about sovereignty and resilience. They want to ensure that critical payments and identity infrastructure can operate securely, even if networks fragment or regions become disconnected. This requires full inventories of cryptographic assets, long term migration plans, updated trust models, and new testing programs that make sure systems remain interoperable while still giving national authorities the control they need.</w:t>
      </w:r>
    </w:p>
    <w:p w:rsidR="00000000" w:rsidDel="00000000" w:rsidP="00000000" w:rsidRDefault="00000000" w:rsidRPr="00000000" w14:paraId="00000011">
      <w:pPr>
        <w:shd w:fill="ffffff" w:val="clear"/>
        <w:rPr>
          <w:color w:val="222222"/>
        </w:rPr>
      </w:pPr>
      <w:r w:rsidDel="00000000" w:rsidR="00000000" w:rsidRPr="00000000">
        <w:rPr>
          <w:rtl w:val="0"/>
        </w:rPr>
      </w:r>
    </w:p>
    <w:p w:rsidR="00000000" w:rsidDel="00000000" w:rsidP="00000000" w:rsidRDefault="00000000" w:rsidRPr="00000000" w14:paraId="00000012">
      <w:pPr>
        <w:shd w:fill="ffffff" w:val="clear"/>
        <w:rPr>
          <w:color w:val="222222"/>
        </w:rPr>
      </w:pPr>
      <w:r w:rsidDel="00000000" w:rsidR="00000000" w:rsidRPr="00000000">
        <w:rPr>
          <w:b w:val="1"/>
          <w:bCs w:val="1"/>
          <w:color w:val="222222"/>
          <w:highlight w:val="white"/>
          <w:rtl w:val="0"/>
        </w:rPr>
        <w:t xml:space="preserve">The Road to Agentic Commerce: Trust, Standards, and Certification</w:t>
      </w:r>
      <w:r w:rsidDel="00000000" w:rsidR="00000000" w:rsidRPr="00000000">
        <w:rPr>
          <w:rtl w:val="0"/>
        </w:rPr>
      </w:r>
    </w:p>
    <w:p w:rsidR="00000000" w:rsidDel="00000000" w:rsidP="00000000" w:rsidRDefault="00000000" w:rsidRPr="00000000" w14:paraId="00000013">
      <w:pPr>
        <w:shd w:fill="ffffff" w:val="clear"/>
        <w:rPr>
          <w:color w:val="222222"/>
        </w:rPr>
      </w:pPr>
      <w:r w:rsidDel="00000000" w:rsidR="00000000" w:rsidRPr="00000000">
        <w:rPr>
          <w:rtl w:val="0"/>
        </w:rPr>
      </w:r>
    </w:p>
    <w:p w:rsidR="00000000" w:rsidDel="00000000" w:rsidP="00000000" w:rsidRDefault="00000000" w:rsidRPr="00000000" w14:paraId="00000014">
      <w:pPr>
        <w:shd w:fill="ffffff" w:val="clear"/>
        <w:rPr>
          <w:color w:val="222222"/>
        </w:rPr>
      </w:pPr>
      <w:r w:rsidDel="00000000" w:rsidR="00000000" w:rsidRPr="00000000">
        <w:rPr>
          <w:color w:val="222222"/>
          <w:rtl w:val="0"/>
        </w:rPr>
        <w:t xml:space="preserve">Agentic commerce is emerging as one of the most significant shifts in how transactions will be conducted. Intelligent agents will compare offers, negotiate on behalf of users, and execute payments automatically. The opportunity is enormous, but only if the industry builds the right trust foundations.</w:t>
      </w:r>
    </w:p>
    <w:p w:rsidR="00000000" w:rsidDel="00000000" w:rsidP="00000000" w:rsidRDefault="00000000" w:rsidRPr="00000000" w14:paraId="00000015">
      <w:pPr>
        <w:shd w:fill="ffffff" w:val="clear"/>
        <w:rPr>
          <w:color w:val="222222"/>
        </w:rPr>
      </w:pPr>
      <w:r w:rsidDel="00000000" w:rsidR="00000000" w:rsidRPr="00000000">
        <w:rPr>
          <w:color w:val="222222"/>
          <w:rtl w:val="0"/>
        </w:rPr>
        <w:t xml:space="preserve"> </w:t>
      </w:r>
    </w:p>
    <w:p w:rsidR="00000000" w:rsidDel="00000000" w:rsidP="00000000" w:rsidRDefault="00000000" w:rsidRPr="00000000" w14:paraId="00000016">
      <w:pPr>
        <w:shd w:fill="ffffff" w:val="clear"/>
        <w:rPr>
          <w:color w:val="222222"/>
        </w:rPr>
      </w:pPr>
      <w:r w:rsidDel="00000000" w:rsidR="00000000" w:rsidRPr="00000000">
        <w:rPr>
          <w:color w:val="222222"/>
          <w:rtl w:val="0"/>
        </w:rPr>
        <w:t xml:space="preserve">For agentic systems to function safely, clear rules are needed around who or what can act for a consumer or a business, what authority is delegated, and how accountability is enforced when something goes wrong. This demands global trust frameworks, industry standards, and certification programs that validate identity, intent, and compliance in machine-driven transactions. Without these guardrails, agentic commerce risks fragmentation, fraud, and lack of transparency.</w:t>
      </w:r>
    </w:p>
    <w:p w:rsidR="00000000" w:rsidDel="00000000" w:rsidP="00000000" w:rsidRDefault="00000000" w:rsidRPr="00000000" w14:paraId="00000017">
      <w:pPr>
        <w:shd w:fill="ffffff" w:val="clear"/>
        <w:rPr>
          <w:color w:val="222222"/>
        </w:rPr>
      </w:pPr>
      <w:r w:rsidDel="00000000" w:rsidR="00000000" w:rsidRPr="00000000">
        <w:rPr>
          <w:color w:val="222222"/>
          <w:rtl w:val="0"/>
        </w:rPr>
        <w:t xml:space="preserve"> </w:t>
      </w:r>
    </w:p>
    <w:p w:rsidR="00000000" w:rsidDel="00000000" w:rsidP="00000000" w:rsidRDefault="00000000" w:rsidRPr="00000000" w14:paraId="00000018">
      <w:pPr>
        <w:shd w:fill="ffffff" w:val="clear"/>
        <w:rPr>
          <w:color w:val="222222"/>
        </w:rPr>
      </w:pPr>
      <w:r w:rsidDel="00000000" w:rsidR="00000000" w:rsidRPr="00000000">
        <w:rPr>
          <w:color w:val="222222"/>
          <w:rtl w:val="0"/>
        </w:rPr>
        <w:t xml:space="preserve">At the same time, there is significant tension between how today’s digital ecosystem authenticates, monitors, and monetizes consumer interactions and the ways agentic AI proposes to operate. End-user license agreements, anti-fraud controls, consent models, and commercial data-driven business models all assume a human decision-maker at the point of interaction. These structures were not built for autonomous agents acting independently on behalf of users and may become meaningful roadblocks to the agentic future unless re-engineered.</w:t>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