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Trust as the Key Defense Against AI Threats</w:t>
      </w:r>
    </w:p>
    <w:p w:rsidR="00000000" w:rsidDel="00000000" w:rsidP="00000000" w:rsidRDefault="00000000" w:rsidRPr="00000000" w14:paraId="00000002">
      <w:pPr>
        <w:rPr/>
      </w:pPr>
      <w:r w:rsidDel="00000000" w:rsidR="00000000" w:rsidRPr="00000000">
        <w:rPr>
          <w:rtl w:val="0"/>
        </w:rPr>
        <w:t xml:space="preserve">By Danielle VanZandt, Research Manager &amp; Program Director - Security, Frost &amp; Sullivan</w:t>
      </w:r>
    </w:p>
    <w:p w:rsidR="00000000" w:rsidDel="00000000" w:rsidP="00000000" w:rsidRDefault="00000000" w:rsidRPr="00000000" w14:paraId="00000003">
      <w:pPr>
        <w:rPr/>
      </w:pPr>
      <w:r w:rsidDel="00000000" w:rsidR="00000000" w:rsidRPr="00000000">
        <w:rPr>
          <w:rtl w:val="0"/>
        </w:rPr>
        <w:t xml:space="preserve">As AI usage proliferates, we are witnessing both the benefits and the dangers of this technology across the digital identity sector. Deepfake technologies are maturing, making them nearly undetectable from true images, videos, or data. Presentation attacks and other AI-powered threats are easily accessible, enabling massively scalable attacks to be conducted at record volume. Businesses, individuals, and organizations face overwhelming fraud concerns even as society pushes for expanded use of digital identity systems, biometrics, and digital public infrastructure. </w:t>
      </w:r>
    </w:p>
    <w:p w:rsidR="00000000" w:rsidDel="00000000" w:rsidP="00000000" w:rsidRDefault="00000000" w:rsidRPr="00000000" w14:paraId="00000004">
      <w:pPr>
        <w:rPr/>
      </w:pPr>
      <w:r w:rsidDel="00000000" w:rsidR="00000000" w:rsidRPr="00000000">
        <w:rPr>
          <w:rtl w:val="0"/>
        </w:rPr>
        <w:t xml:space="preserve">So, in a world where it is more difficult to determine what is true and what is fake, how can users trust what they are seeing, consuming, and accessing? What is that source of truth, that trust anchor, that can assure users that what they are consuming is valid and authentic?</w:t>
      </w:r>
    </w:p>
    <w:p w:rsidR="00000000" w:rsidDel="00000000" w:rsidP="00000000" w:rsidRDefault="00000000" w:rsidRPr="00000000" w14:paraId="00000005">
      <w:pPr>
        <w:rPr/>
      </w:pPr>
      <w:r w:rsidDel="00000000" w:rsidR="00000000" w:rsidRPr="00000000">
        <w:rPr>
          <w:rtl w:val="0"/>
        </w:rPr>
        <w:t xml:space="preserve">Rather than relying on a new feature, we must recognize that we already have the means to defend ourselves. Liveness detection remains highly efficient in detecting AI-based threat signatures. It doesn’t matter if an identity system is operating a singular biometric, multi-modal biometric authentication, or continuous real-time session monitoring; liveness remains the core function that accurately validates the actions or identities being presented. </w:t>
      </w:r>
    </w:p>
    <w:p w:rsidR="00000000" w:rsidDel="00000000" w:rsidP="00000000" w:rsidRDefault="00000000" w:rsidRPr="00000000" w14:paraId="00000006">
      <w:pPr>
        <w:rPr/>
      </w:pPr>
      <w:r w:rsidDel="00000000" w:rsidR="00000000" w:rsidRPr="00000000">
        <w:rPr>
          <w:rtl w:val="0"/>
        </w:rPr>
        <w:t xml:space="preserve">In 2026, we are expecting significant growth for new digital identity initiatives, such as the EUDI Wallet, new national eID programs, and growing use of DID tokens globally. Growing demand for age verification and internet safety proposals saw many nations enacting new age requirements that must be enforced throughout 2026. </w:t>
      </w:r>
    </w:p>
    <w:p w:rsidR="00000000" w:rsidDel="00000000" w:rsidP="00000000" w:rsidRDefault="00000000" w:rsidRPr="00000000" w14:paraId="00000007">
      <w:pPr>
        <w:rPr/>
      </w:pPr>
      <w:r w:rsidDel="00000000" w:rsidR="00000000" w:rsidRPr="00000000">
        <w:rPr>
          <w:rtl w:val="0"/>
        </w:rPr>
        <w:t xml:space="preserve">Trust across the identity validation process will be critical to all participants in these transactions. Individuals must be able to trust the organizations that they share their biometric data with to complete a specific action. For the organizations, they must trust that the user making the action request is the real, validated identity, all determined through live matching of the provided biometrics against the shared source of truth. Without trust on either side of these actions, the overall risk of fraud greatly increases. </w:t>
      </w:r>
    </w:p>
    <w:p w:rsidR="00000000" w:rsidDel="00000000" w:rsidP="00000000" w:rsidRDefault="00000000" w:rsidRPr="00000000" w14:paraId="00000008">
      <w:pPr>
        <w:rPr/>
      </w:pPr>
      <w:r w:rsidDel="00000000" w:rsidR="00000000" w:rsidRPr="00000000">
        <w:rPr>
          <w:rtl w:val="0"/>
        </w:rPr>
        <w:t xml:space="preserve">Trust will underpin all digital activities throughout 2026. Biometrics and digital identity providers must earn the trust of stakeholders, end users, and the general public through the active demonstration of responsible, ethical use of biometric data through clear, transparent usage policies. In the face of rising concerns over mass surveillance and discriminatory or biased recognition algorithms, providers who can demonstrate how high accuracy, secure data protection, and inclusive recognition functionality will gain favor. </w:t>
      </w:r>
    </w:p>
    <w:p w:rsidR="00000000" w:rsidDel="00000000" w:rsidP="00000000" w:rsidRDefault="00000000" w:rsidRPr="00000000" w14:paraId="00000009">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mbria" w:cs="Cambria" w:eastAsia="Cambria" w:hAnsi="Cambria"/>
      <w:color w:val="366091"/>
      <w:sz w:val="40"/>
      <w:szCs w:val="40"/>
    </w:rPr>
  </w:style>
  <w:style w:type="paragraph" w:styleId="Heading2">
    <w:name w:val="heading 2"/>
    <w:basedOn w:val="Normal"/>
    <w:next w:val="Normal"/>
    <w:pPr>
      <w:keepNext w:val="1"/>
      <w:keepLines w:val="1"/>
      <w:spacing w:after="80" w:before="160" w:lineRule="auto"/>
    </w:pPr>
    <w:rPr>
      <w:rFonts w:ascii="Cambria" w:cs="Cambria" w:eastAsia="Cambria" w:hAnsi="Cambria"/>
      <w:color w:val="366091"/>
      <w:sz w:val="32"/>
      <w:szCs w:val="32"/>
    </w:rPr>
  </w:style>
  <w:style w:type="paragraph" w:styleId="Heading3">
    <w:name w:val="heading 3"/>
    <w:basedOn w:val="Normal"/>
    <w:next w:val="Normal"/>
    <w:pPr>
      <w:keepNext w:val="1"/>
      <w:keepLines w:val="1"/>
      <w:spacing w:after="80" w:before="160" w:lineRule="auto"/>
    </w:pPr>
    <w:rPr>
      <w:color w:val="366091"/>
      <w:sz w:val="28"/>
      <w:szCs w:val="28"/>
    </w:rPr>
  </w:style>
  <w:style w:type="paragraph" w:styleId="Heading4">
    <w:name w:val="heading 4"/>
    <w:basedOn w:val="Normal"/>
    <w:next w:val="Normal"/>
    <w:pPr>
      <w:keepNext w:val="1"/>
      <w:keepLines w:val="1"/>
      <w:spacing w:after="40" w:before="80" w:lineRule="auto"/>
    </w:pPr>
    <w:rPr>
      <w:i w:val="1"/>
      <w:iCs w:val="1"/>
      <w:color w:val="366091"/>
    </w:rPr>
  </w:style>
  <w:style w:type="paragraph" w:styleId="Heading5">
    <w:name w:val="heading 5"/>
    <w:basedOn w:val="Normal"/>
    <w:next w:val="Normal"/>
    <w:pPr>
      <w:keepNext w:val="1"/>
      <w:keepLines w:val="1"/>
      <w:spacing w:after="40" w:before="80" w:lineRule="auto"/>
    </w:pPr>
    <w:rPr>
      <w:color w:val="36609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mbria" w:cs="Cambria" w:eastAsia="Cambria" w:hAnsi="Cambria"/>
      <w:sz w:val="56"/>
      <w:szCs w:val="56"/>
    </w:rPr>
  </w:style>
  <w:style w:type="paragraph" w:styleId="Heading7">
    <w:name w:val="heading 7"/>
    <w:basedOn w:val="Normal"/>
    <w:next w:val="Normal"/>
    <w:link w:val="Heading7Char"/>
    <w:uiPriority w:val="9"/>
    <w:semiHidden w:val="1"/>
    <w:unhideWhenUsed w:val="1"/>
    <w:qFormat w:val="1"/>
    <w:rsid w:val="002C019C"/>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C019C"/>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C019C"/>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C019C"/>
    <w:rPr>
      <w:rFonts w:asciiTheme="majorHAnsi" w:cstheme="majorBidi" w:eastAsiaTheme="majorEastAsia" w:hAnsiTheme="majorHAnsi"/>
      <w:color w:val="365f91" w:themeColor="accent1" w:themeShade="0000BF"/>
      <w:sz w:val="40"/>
      <w:szCs w:val="40"/>
    </w:rPr>
  </w:style>
  <w:style w:type="character" w:styleId="Heading2Char" w:customStyle="1">
    <w:name w:val="Heading 2 Char"/>
    <w:basedOn w:val="DefaultParagraphFont"/>
    <w:link w:val="Heading2"/>
    <w:uiPriority w:val="9"/>
    <w:semiHidden w:val="1"/>
    <w:rsid w:val="002C019C"/>
    <w:rPr>
      <w:rFonts w:asciiTheme="majorHAnsi" w:cstheme="majorBidi" w:eastAsiaTheme="majorEastAsia" w:hAnsiTheme="majorHAnsi"/>
      <w:color w:val="365f91" w:themeColor="accent1" w:themeShade="0000BF"/>
      <w:sz w:val="32"/>
      <w:szCs w:val="32"/>
    </w:rPr>
  </w:style>
  <w:style w:type="character" w:styleId="Heading3Char" w:customStyle="1">
    <w:name w:val="Heading 3 Char"/>
    <w:basedOn w:val="DefaultParagraphFont"/>
    <w:link w:val="Heading3"/>
    <w:uiPriority w:val="9"/>
    <w:semiHidden w:val="1"/>
    <w:rsid w:val="002C019C"/>
    <w:rPr>
      <w:rFonts w:cstheme="majorBidi" w:eastAsiaTheme="majorEastAsia"/>
      <w:color w:val="365f91" w:themeColor="accent1" w:themeShade="0000BF"/>
      <w:sz w:val="28"/>
      <w:szCs w:val="28"/>
    </w:rPr>
  </w:style>
  <w:style w:type="character" w:styleId="Heading4Char" w:customStyle="1">
    <w:name w:val="Heading 4 Char"/>
    <w:basedOn w:val="DefaultParagraphFont"/>
    <w:link w:val="Heading4"/>
    <w:uiPriority w:val="9"/>
    <w:semiHidden w:val="1"/>
    <w:rsid w:val="002C019C"/>
    <w:rPr>
      <w:rFonts w:cstheme="majorBidi" w:eastAsiaTheme="majorEastAsia"/>
      <w:i w:val="1"/>
      <w:iCs w:val="1"/>
      <w:color w:val="365f91" w:themeColor="accent1" w:themeShade="0000BF"/>
    </w:rPr>
  </w:style>
  <w:style w:type="character" w:styleId="Heading5Char" w:customStyle="1">
    <w:name w:val="Heading 5 Char"/>
    <w:basedOn w:val="DefaultParagraphFont"/>
    <w:link w:val="Heading5"/>
    <w:uiPriority w:val="9"/>
    <w:semiHidden w:val="1"/>
    <w:rsid w:val="002C019C"/>
    <w:rPr>
      <w:rFonts w:cstheme="majorBidi" w:eastAsiaTheme="majorEastAsia"/>
      <w:color w:val="365f91" w:themeColor="accent1" w:themeShade="0000BF"/>
    </w:rPr>
  </w:style>
  <w:style w:type="character" w:styleId="Heading6Char" w:customStyle="1">
    <w:name w:val="Heading 6 Char"/>
    <w:basedOn w:val="DefaultParagraphFont"/>
    <w:link w:val="Heading6"/>
    <w:uiPriority w:val="9"/>
    <w:semiHidden w:val="1"/>
    <w:rsid w:val="002C019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C019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C019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C019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C019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C019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C019C"/>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2C019C"/>
    <w:rPr>
      <w:i w:val="1"/>
      <w:iCs w:val="1"/>
      <w:color w:val="404040" w:themeColor="text1" w:themeTint="0000BF"/>
    </w:rPr>
  </w:style>
  <w:style w:type="paragraph" w:styleId="ListParagraph">
    <w:name w:val="List Paragraph"/>
    <w:basedOn w:val="Normal"/>
    <w:uiPriority w:val="34"/>
    <w:qFormat w:val="1"/>
    <w:rsid w:val="002C019C"/>
    <w:pPr>
      <w:ind w:left="720"/>
      <w:contextualSpacing w:val="1"/>
    </w:pPr>
  </w:style>
  <w:style w:type="character" w:styleId="IntenseEmphasis">
    <w:name w:val="Intense Emphasis"/>
    <w:basedOn w:val="DefaultParagraphFont"/>
    <w:uiPriority w:val="21"/>
    <w:qFormat w:val="1"/>
    <w:rsid w:val="002C019C"/>
    <w:rPr>
      <w:i w:val="1"/>
      <w:iCs w:val="1"/>
      <w:color w:val="365f91" w:themeColor="accent1" w:themeShade="0000BF"/>
    </w:rPr>
  </w:style>
  <w:style w:type="paragraph" w:styleId="IntenseQuote">
    <w:name w:val="Intense Quote"/>
    <w:basedOn w:val="Normal"/>
    <w:next w:val="Normal"/>
    <w:link w:val="IntenseQuoteChar"/>
    <w:uiPriority w:val="30"/>
    <w:qFormat w:val="1"/>
    <w:rsid w:val="002C019C"/>
    <w:pPr>
      <w:pBdr>
        <w:top w:color="365f91" w:space="10" w:sz="4" w:themeColor="accent1" w:themeShade="0000BF" w:val="single"/>
        <w:bottom w:color="365f91" w:space="10" w:sz="4" w:themeColor="accent1" w:themeShade="0000BF" w:val="single"/>
      </w:pBdr>
      <w:spacing w:after="360" w:before="360"/>
      <w:ind w:left="864" w:right="864"/>
      <w:jc w:val="center"/>
    </w:pPr>
    <w:rPr>
      <w:i w:val="1"/>
      <w:iCs w:val="1"/>
      <w:color w:val="365f91" w:themeColor="accent1" w:themeShade="0000BF"/>
    </w:rPr>
  </w:style>
  <w:style w:type="character" w:styleId="IntenseQuoteChar" w:customStyle="1">
    <w:name w:val="Intense Quote Char"/>
    <w:basedOn w:val="DefaultParagraphFont"/>
    <w:link w:val="IntenseQuote"/>
    <w:uiPriority w:val="30"/>
    <w:rsid w:val="002C019C"/>
    <w:rPr>
      <w:i w:val="1"/>
      <w:iCs w:val="1"/>
      <w:color w:val="365f91" w:themeColor="accent1" w:themeShade="0000BF"/>
    </w:rPr>
  </w:style>
  <w:style w:type="character" w:styleId="IntenseReference">
    <w:name w:val="Intense Reference"/>
    <w:basedOn w:val="DefaultParagraphFont"/>
    <w:uiPriority w:val="32"/>
    <w:qFormat w:val="1"/>
    <w:rsid w:val="002C019C"/>
    <w:rPr>
      <w:b w:val="1"/>
      <w:bCs w:val="1"/>
      <w:smallCaps w:val="1"/>
      <w:color w:val="365f91" w:themeColor="accent1" w:themeShade="0000BF"/>
      <w:spacing w:val="5"/>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43ZTkMxPZ0ZTDJ6YVaNgW0E57Q==">CgMxLjA4AHIhMWZCb3NvWDJOU0I5cFJILUZoenBQUXNuSFlBb0VmTXZq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2026-01-08T15:45:00Z</dcterms:created>
  <dc:creator>Danielle VanZandt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698ee0b-39cf-41dc-b744-3b09af59808d_Enabled">
    <vt:lpwstr>true</vt:lpwstr>
  </property>
  <property fmtid="{D5CDD505-2E9C-101B-9397-08002B2CF9AE}" pid="3" name="MSIP_Label_9698ee0b-39cf-41dc-b744-3b09af59808d_SetDate">
    <vt:lpwstr>2026-01-08T16:07:43Z</vt:lpwstr>
  </property>
  <property fmtid="{D5CDD505-2E9C-101B-9397-08002B2CF9AE}" pid="4" name="MSIP_Label_9698ee0b-39cf-41dc-b744-3b09af59808d_Method">
    <vt:lpwstr>Standard</vt:lpwstr>
  </property>
  <property fmtid="{D5CDD505-2E9C-101B-9397-08002B2CF9AE}" pid="5" name="MSIP_Label_9698ee0b-39cf-41dc-b744-3b09af59808d_Name">
    <vt:lpwstr>General</vt:lpwstr>
  </property>
  <property fmtid="{D5CDD505-2E9C-101B-9397-08002B2CF9AE}" pid="6" name="MSIP_Label_9698ee0b-39cf-41dc-b744-3b09af59808d_SiteId">
    <vt:lpwstr>22ce7c59-cc34-45af-98a6-031d362c1d65</vt:lpwstr>
  </property>
  <property fmtid="{D5CDD505-2E9C-101B-9397-08002B2CF9AE}" pid="7" name="MSIP_Label_9698ee0b-39cf-41dc-b744-3b09af59808d_ActionId">
    <vt:lpwstr>a3f5fd7c-dbd7-4345-bf2a-636efc5f4a77</vt:lpwstr>
  </property>
  <property fmtid="{D5CDD505-2E9C-101B-9397-08002B2CF9AE}" pid="8" name="MSIP_Label_9698ee0b-39cf-41dc-b744-3b09af59808d_ContentBits">
    <vt:lpwstr>0</vt:lpwstr>
  </property>
  <property fmtid="{D5CDD505-2E9C-101B-9397-08002B2CF9AE}" pid="9" name="MSIP_Label_9698ee0b-39cf-41dc-b744-3b09af59808d_Tag">
    <vt:lpwstr>10, 3, 0, 1</vt:lpwstr>
  </property>
</Properties>
</file>